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20" w:lineRule="atLeast"/>
        <w:rPr>
          <w:rFonts w:ascii="Arial" w:hAnsi="Arial" w:eastAsia="宋体" w:cs="Arial"/>
          <w:color w:val="676767"/>
          <w:kern w:val="0"/>
          <w:sz w:val="44"/>
          <w:szCs w:val="44"/>
        </w:rPr>
      </w:pPr>
      <w:r>
        <w:rPr>
          <w:rFonts w:hint="eastAsia" w:ascii="华文中宋" w:hAnsi="华文中宋" w:eastAsia="华文中宋" w:cs="Arial"/>
          <w:color w:val="000000"/>
          <w:kern w:val="0"/>
          <w:sz w:val="44"/>
          <w:szCs w:val="44"/>
        </w:rPr>
        <w:t>关于开展全国工程专业学位研究生教育自选课题研究的通知</w:t>
      </w:r>
    </w:p>
    <w:p>
      <w:pPr>
        <w:widowControl/>
        <w:shd w:val="clear" w:color="auto" w:fill="FFFFFF"/>
        <w:spacing w:line="520" w:lineRule="atLeast"/>
        <w:jc w:val="right"/>
        <w:rPr>
          <w:rFonts w:ascii="Arial" w:hAnsi="Arial" w:eastAsia="宋体" w:cs="Arial"/>
          <w:color w:val="676767"/>
          <w:kern w:val="0"/>
          <w:sz w:val="18"/>
          <w:szCs w:val="18"/>
        </w:rPr>
      </w:pPr>
      <w:r>
        <w:rPr>
          <w:rFonts w:hint="eastAsia" w:ascii="宋体" w:hAnsi="宋体" w:eastAsia="宋体" w:cs="宋体"/>
          <w:color w:val="000000"/>
          <w:kern w:val="0"/>
          <w:sz w:val="32"/>
          <w:szCs w:val="32"/>
        </w:rPr>
        <w:t> </w:t>
      </w:r>
    </w:p>
    <w:p>
      <w:pPr>
        <w:widowControl/>
        <w:shd w:val="clear" w:color="auto" w:fill="FFFFFF"/>
        <w:spacing w:line="520" w:lineRule="atLeast"/>
        <w:jc w:val="right"/>
        <w:rPr>
          <w:rFonts w:ascii="Arial" w:hAnsi="Arial" w:eastAsia="宋体" w:cs="Arial"/>
          <w:color w:val="676767"/>
          <w:kern w:val="0"/>
          <w:sz w:val="18"/>
          <w:szCs w:val="18"/>
        </w:rPr>
      </w:pPr>
      <w:r>
        <w:rPr>
          <w:rFonts w:hint="eastAsia" w:ascii="仿宋" w:hAnsi="仿宋" w:eastAsia="仿宋" w:cs="Arial"/>
          <w:color w:val="000000"/>
          <w:kern w:val="0"/>
          <w:sz w:val="32"/>
          <w:szCs w:val="32"/>
        </w:rPr>
        <w:t>工程教指委</w:t>
      </w:r>
      <w:r>
        <w:rPr>
          <w:rFonts w:ascii="inherit" w:hAnsi="inherit" w:eastAsia="仿宋" w:cs="Arial"/>
          <w:color w:val="000000"/>
          <w:kern w:val="0"/>
          <w:sz w:val="32"/>
          <w:szCs w:val="32"/>
        </w:rPr>
        <w:t>[2014]5</w:t>
      </w:r>
      <w:r>
        <w:rPr>
          <w:rFonts w:hint="eastAsia" w:ascii="仿宋" w:hAnsi="仿宋" w:eastAsia="仿宋" w:cs="Arial"/>
          <w:color w:val="000000"/>
          <w:kern w:val="0"/>
          <w:sz w:val="32"/>
          <w:szCs w:val="32"/>
        </w:rPr>
        <w:t>号</w:t>
      </w:r>
    </w:p>
    <w:p>
      <w:pPr>
        <w:widowControl/>
        <w:shd w:val="clear" w:color="auto" w:fill="FFFFFF"/>
        <w:spacing w:line="520" w:lineRule="atLeast"/>
        <w:jc w:val="left"/>
        <w:rPr>
          <w:rFonts w:ascii="Arial" w:hAnsi="Arial" w:eastAsia="宋体" w:cs="Arial"/>
          <w:color w:val="676767"/>
          <w:kern w:val="0"/>
          <w:sz w:val="18"/>
          <w:szCs w:val="18"/>
        </w:rPr>
      </w:pPr>
      <w:r>
        <w:rPr>
          <w:rFonts w:hint="eastAsia" w:ascii="宋体" w:hAnsi="宋体" w:eastAsia="宋体" w:cs="宋体"/>
          <w:color w:val="000000"/>
          <w:kern w:val="0"/>
          <w:sz w:val="32"/>
          <w:szCs w:val="32"/>
        </w:rPr>
        <w:t> </w:t>
      </w:r>
    </w:p>
    <w:p>
      <w:pPr>
        <w:widowControl/>
        <w:shd w:val="clear" w:color="auto" w:fill="FFFFFF"/>
        <w:spacing w:line="520" w:lineRule="atLeast"/>
        <w:ind w:left="1" w:hanging="3"/>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各培养单位：</w:t>
      </w:r>
    </w:p>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经第四届全国工程专业学位研究生教育指导委员会（以下简称教指委）第一次全体会议研究，决定启动工程专业学位研究生教育课题研究工作。鉴于各培养单位情况不一，教指委设立自选课题，由各培养单位结合自身实际，开展研究，推动工作。现将有关事项通知如下：</w:t>
      </w:r>
    </w:p>
    <w:p>
      <w:pPr>
        <w:widowControl/>
        <w:shd w:val="clear" w:color="auto" w:fill="FFFFFF"/>
        <w:spacing w:line="520" w:lineRule="atLeast"/>
        <w:ind w:left="641"/>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一、课题方向</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233"/>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270" w:lineRule="atLeast"/>
              <w:rPr>
                <w:rFonts w:ascii="inherit" w:hAnsi="inherit" w:eastAsia="宋体" w:cs="宋体"/>
                <w:color w:val="676767"/>
                <w:kern w:val="0"/>
                <w:sz w:val="18"/>
                <w:szCs w:val="18"/>
              </w:rPr>
            </w:pPr>
            <w:r>
              <w:rPr>
                <w:rFonts w:hint="eastAsia" w:ascii="宋体" w:hAnsi="宋体" w:eastAsia="宋体" w:cs="宋体"/>
                <w:color w:val="000000"/>
                <w:kern w:val="0"/>
                <w:sz w:val="24"/>
                <w:szCs w:val="24"/>
              </w:rPr>
              <w:t>课题方向</w:t>
            </w:r>
          </w:p>
          <w:p>
            <w:pPr>
              <w:widowControl/>
              <w:spacing w:line="270" w:lineRule="atLeast"/>
              <w:rPr>
                <w:rFonts w:ascii="inherit" w:hAnsi="inherit" w:eastAsia="宋体" w:cs="宋体"/>
                <w:color w:val="676767"/>
                <w:kern w:val="0"/>
                <w:sz w:val="18"/>
                <w:szCs w:val="18"/>
              </w:rPr>
            </w:pPr>
            <w:r>
              <w:rPr>
                <w:rFonts w:hint="eastAsia" w:ascii="宋体" w:hAnsi="宋体" w:eastAsia="宋体" w:cs="宋体"/>
                <w:color w:val="000000"/>
                <w:kern w:val="0"/>
                <w:sz w:val="24"/>
                <w:szCs w:val="24"/>
              </w:rPr>
              <w:t>编号</w:t>
            </w:r>
          </w:p>
        </w:tc>
        <w:tc>
          <w:tcPr>
            <w:tcW w:w="7289"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 w:val="24"/>
                <w:szCs w:val="24"/>
              </w:rPr>
              <w:t>课题方向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 w:val="24"/>
                <w:szCs w:val="24"/>
              </w:rPr>
              <w:t>1</w:t>
            </w:r>
          </w:p>
        </w:tc>
        <w:tc>
          <w:tcPr>
            <w:tcW w:w="7289" w:type="dxa"/>
            <w:tcMar>
              <w:top w:w="0" w:type="dxa"/>
              <w:left w:w="108" w:type="dxa"/>
              <w:bottom w:w="0" w:type="dxa"/>
              <w:right w:w="108" w:type="dxa"/>
            </w:tcMar>
            <w:vAlign w:val="center"/>
          </w:tcPr>
          <w:p>
            <w:pPr>
              <w:widowControl/>
              <w:spacing w:line="270" w:lineRule="atLeast"/>
              <w:jc w:val="left"/>
              <w:rPr>
                <w:rFonts w:ascii="inherit" w:hAnsi="inherit" w:eastAsia="宋体" w:cs="宋体"/>
                <w:color w:val="676767"/>
                <w:kern w:val="0"/>
                <w:sz w:val="18"/>
                <w:szCs w:val="18"/>
              </w:rPr>
            </w:pPr>
            <w:r>
              <w:rPr>
                <w:rFonts w:hint="eastAsia" w:ascii="宋体" w:hAnsi="宋体" w:eastAsia="宋体" w:cs="宋体"/>
                <w:color w:val="000000"/>
                <w:kern w:val="0"/>
                <w:szCs w:val="21"/>
              </w:rPr>
              <w:t>结合本培养单位实际，对工程专业学位与相关学术学位和专业学位的研究生培养及发展质量的比较分析，提炼各自特色，进一步明确工程专业学位的定位和培养目标的研究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 w:val="24"/>
                <w:szCs w:val="24"/>
              </w:rPr>
              <w:t>2</w:t>
            </w:r>
          </w:p>
        </w:tc>
        <w:tc>
          <w:tcPr>
            <w:tcW w:w="7289" w:type="dxa"/>
            <w:tcMar>
              <w:top w:w="0" w:type="dxa"/>
              <w:left w:w="108" w:type="dxa"/>
              <w:bottom w:w="0" w:type="dxa"/>
              <w:right w:w="108" w:type="dxa"/>
            </w:tcMar>
            <w:vAlign w:val="center"/>
          </w:tcPr>
          <w:p>
            <w:pPr>
              <w:widowControl/>
              <w:spacing w:line="270" w:lineRule="atLeast"/>
              <w:jc w:val="left"/>
              <w:rPr>
                <w:rFonts w:ascii="inherit" w:hAnsi="inherit" w:eastAsia="宋体" w:cs="宋体"/>
                <w:color w:val="676767"/>
                <w:kern w:val="0"/>
                <w:sz w:val="18"/>
                <w:szCs w:val="18"/>
              </w:rPr>
            </w:pPr>
            <w:r>
              <w:rPr>
                <w:rFonts w:hint="eastAsia" w:ascii="宋体" w:hAnsi="宋体" w:eastAsia="宋体" w:cs="宋体"/>
                <w:color w:val="000000"/>
                <w:kern w:val="0"/>
                <w:szCs w:val="21"/>
              </w:rPr>
              <w:t>深入剖析本单位培养目标及工程硕士学位项目的案例，研究其对工程专业学位研究生培养质量的作用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Cs w:val="21"/>
              </w:rPr>
              <w:t>3</w:t>
            </w:r>
          </w:p>
        </w:tc>
        <w:tc>
          <w:tcPr>
            <w:tcW w:w="7289" w:type="dxa"/>
            <w:tcMar>
              <w:top w:w="0" w:type="dxa"/>
              <w:left w:w="108" w:type="dxa"/>
              <w:bottom w:w="0" w:type="dxa"/>
              <w:right w:w="108" w:type="dxa"/>
            </w:tcMar>
            <w:vAlign w:val="center"/>
          </w:tcPr>
          <w:p>
            <w:pPr>
              <w:widowControl/>
              <w:spacing w:line="270" w:lineRule="atLeast"/>
              <w:jc w:val="left"/>
              <w:rPr>
                <w:rFonts w:ascii="inherit" w:hAnsi="inherit" w:eastAsia="宋体" w:cs="宋体"/>
                <w:color w:val="676767"/>
                <w:kern w:val="0"/>
                <w:sz w:val="18"/>
                <w:szCs w:val="18"/>
              </w:rPr>
            </w:pPr>
            <w:r>
              <w:rPr>
                <w:rFonts w:hint="eastAsia" w:ascii="宋体" w:hAnsi="宋体" w:eastAsia="宋体" w:cs="宋体"/>
                <w:color w:val="000000"/>
                <w:kern w:val="0"/>
                <w:szCs w:val="21"/>
              </w:rPr>
              <w:t>深入剖析本单位工程硕士与职业资格衔接的案例，研究其对工程专业学位研究生培养模式调整和培养质量变化的作用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Cs w:val="21"/>
              </w:rPr>
              <w:t>4</w:t>
            </w:r>
          </w:p>
        </w:tc>
        <w:tc>
          <w:tcPr>
            <w:tcW w:w="7289" w:type="dxa"/>
            <w:tcMar>
              <w:top w:w="0" w:type="dxa"/>
              <w:left w:w="108" w:type="dxa"/>
              <w:bottom w:w="0" w:type="dxa"/>
              <w:right w:w="108" w:type="dxa"/>
            </w:tcMar>
            <w:vAlign w:val="center"/>
          </w:tcPr>
          <w:p>
            <w:pPr>
              <w:widowControl/>
              <w:spacing w:line="270" w:lineRule="atLeast"/>
              <w:jc w:val="left"/>
              <w:rPr>
                <w:rFonts w:ascii="inherit" w:hAnsi="inherit" w:eastAsia="宋体" w:cs="宋体"/>
                <w:color w:val="676767"/>
                <w:kern w:val="0"/>
                <w:sz w:val="18"/>
                <w:szCs w:val="18"/>
              </w:rPr>
            </w:pPr>
            <w:r>
              <w:rPr>
                <w:rFonts w:hint="eastAsia" w:ascii="宋体" w:hAnsi="宋体" w:eastAsia="宋体" w:cs="宋体"/>
                <w:color w:val="000000"/>
                <w:kern w:val="0"/>
                <w:szCs w:val="21"/>
              </w:rPr>
              <w:t>选择本单位优势工程领域，开展相关产业行业对未来十年工程专业学位的知识、能力、素养要求，及人才需求规模预测的调查与研究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3" w:hRule="atLeast"/>
          <w:jc w:val="center"/>
        </w:trPr>
        <w:tc>
          <w:tcPr>
            <w:tcW w:w="1233" w:type="dxa"/>
            <w:tcMar>
              <w:top w:w="0" w:type="dxa"/>
              <w:left w:w="108" w:type="dxa"/>
              <w:bottom w:w="0" w:type="dxa"/>
              <w:right w:w="108" w:type="dxa"/>
            </w:tcMar>
            <w:vAlign w:val="center"/>
          </w:tcPr>
          <w:p>
            <w:pPr>
              <w:widowControl/>
              <w:spacing w:line="440" w:lineRule="atLeast"/>
              <w:rPr>
                <w:rFonts w:ascii="inherit" w:hAnsi="inherit" w:eastAsia="宋体" w:cs="宋体"/>
                <w:color w:val="676767"/>
                <w:kern w:val="0"/>
                <w:sz w:val="18"/>
                <w:szCs w:val="18"/>
              </w:rPr>
            </w:pPr>
            <w:r>
              <w:rPr>
                <w:rFonts w:hint="eastAsia" w:ascii="宋体" w:hAnsi="宋体" w:eastAsia="宋体" w:cs="宋体"/>
                <w:color w:val="000000"/>
                <w:kern w:val="0"/>
                <w:szCs w:val="21"/>
              </w:rPr>
              <w:t>5</w:t>
            </w:r>
          </w:p>
        </w:tc>
        <w:tc>
          <w:tcPr>
            <w:tcW w:w="7289" w:type="dxa"/>
            <w:tcMar>
              <w:top w:w="0" w:type="dxa"/>
              <w:left w:w="108" w:type="dxa"/>
              <w:bottom w:w="0" w:type="dxa"/>
              <w:right w:w="108" w:type="dxa"/>
            </w:tcMar>
            <w:vAlign w:val="center"/>
          </w:tcPr>
          <w:p>
            <w:pPr>
              <w:widowControl/>
              <w:spacing w:line="270" w:lineRule="atLeast"/>
              <w:jc w:val="left"/>
              <w:rPr>
                <w:rFonts w:ascii="inherit" w:hAnsi="inherit" w:eastAsia="宋体" w:cs="宋体"/>
                <w:color w:val="676767"/>
                <w:kern w:val="0"/>
                <w:sz w:val="18"/>
                <w:szCs w:val="18"/>
              </w:rPr>
            </w:pPr>
            <w:r>
              <w:rPr>
                <w:rFonts w:hint="eastAsia" w:ascii="宋体" w:hAnsi="宋体" w:eastAsia="宋体" w:cs="宋体"/>
                <w:color w:val="000000"/>
                <w:kern w:val="0"/>
                <w:szCs w:val="21"/>
              </w:rPr>
              <w:t>培养单位自选的与工程专业学位研究生教育相关的研究课题</w:t>
            </w:r>
          </w:p>
        </w:tc>
      </w:tr>
    </w:tbl>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二、申请立项的程序是：结合实际，自愿申请，自筹研究经费，教指委组成专家组评审，教指委批准立项。</w:t>
      </w:r>
    </w:p>
    <w:p>
      <w:pPr>
        <w:widowControl/>
        <w:shd w:val="clear" w:color="auto" w:fill="FFFFFF"/>
        <w:spacing w:line="44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三、课题负责人及所属单位研究生院（部、处）应采取切实措施和必要的支持，保质保量地开展好课题研究工作。提倡与相关行业、企业等协同开展教育课题研究。</w:t>
      </w:r>
    </w:p>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四、未按要求交纳公共活动费，以及课题未按时提交结题报告的单位，暂停下次研究课题的申报权。</w:t>
      </w:r>
    </w:p>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五、</w:t>
      </w:r>
      <w:r>
        <w:rPr>
          <w:rFonts w:ascii="inherit" w:hAnsi="inherit" w:eastAsia="仿宋" w:cs="Arial"/>
          <w:color w:val="000000"/>
          <w:kern w:val="0"/>
          <w:sz w:val="32"/>
          <w:szCs w:val="32"/>
        </w:rPr>
        <w:t>2014</w:t>
      </w:r>
      <w:r>
        <w:rPr>
          <w:rFonts w:hint="eastAsia" w:ascii="仿宋" w:hAnsi="仿宋" w:eastAsia="仿宋" w:cs="Arial"/>
          <w:color w:val="000000"/>
          <w:kern w:val="0"/>
          <w:sz w:val="32"/>
          <w:szCs w:val="32"/>
        </w:rPr>
        <w:t>年</w:t>
      </w:r>
      <w:r>
        <w:rPr>
          <w:rFonts w:ascii="inherit" w:hAnsi="inherit" w:eastAsia="仿宋" w:cs="Arial"/>
          <w:color w:val="000000"/>
          <w:kern w:val="0"/>
          <w:sz w:val="32"/>
          <w:szCs w:val="32"/>
        </w:rPr>
        <w:t>8</w:t>
      </w:r>
      <w:r>
        <w:rPr>
          <w:rFonts w:hint="eastAsia" w:ascii="仿宋" w:hAnsi="仿宋" w:eastAsia="仿宋" w:cs="Arial"/>
          <w:color w:val="000000"/>
          <w:kern w:val="0"/>
          <w:sz w:val="32"/>
          <w:szCs w:val="32"/>
        </w:rPr>
        <w:t>月底，申请人递交《全国工程专业学位研究生教育自选研究课题申请立项书》（见附件）。</w:t>
      </w:r>
      <w:r>
        <w:rPr>
          <w:rFonts w:ascii="inherit" w:hAnsi="inherit" w:eastAsia="仿宋" w:cs="Arial"/>
          <w:color w:val="000000"/>
          <w:kern w:val="0"/>
          <w:sz w:val="32"/>
          <w:szCs w:val="32"/>
        </w:rPr>
        <w:t>2015</w:t>
      </w:r>
      <w:r>
        <w:rPr>
          <w:rFonts w:hint="eastAsia" w:ascii="仿宋" w:hAnsi="仿宋" w:eastAsia="仿宋" w:cs="Arial"/>
          <w:color w:val="000000"/>
          <w:kern w:val="0"/>
          <w:sz w:val="32"/>
          <w:szCs w:val="32"/>
        </w:rPr>
        <w:t>年</w:t>
      </w:r>
      <w:r>
        <w:rPr>
          <w:rFonts w:ascii="inherit" w:hAnsi="inherit" w:eastAsia="仿宋" w:cs="Arial"/>
          <w:color w:val="000000"/>
          <w:kern w:val="0"/>
          <w:sz w:val="32"/>
          <w:szCs w:val="32"/>
        </w:rPr>
        <w:t>3</w:t>
      </w:r>
      <w:r>
        <w:rPr>
          <w:rFonts w:hint="eastAsia" w:ascii="仿宋" w:hAnsi="仿宋" w:eastAsia="仿宋" w:cs="Arial"/>
          <w:color w:val="000000"/>
          <w:kern w:val="0"/>
          <w:sz w:val="32"/>
          <w:szCs w:val="32"/>
        </w:rPr>
        <w:t>月底，课题组递交中期检查报告。</w:t>
      </w:r>
      <w:r>
        <w:rPr>
          <w:rFonts w:ascii="inherit" w:hAnsi="inherit" w:eastAsia="仿宋" w:cs="Arial"/>
          <w:color w:val="000000"/>
          <w:kern w:val="0"/>
          <w:sz w:val="32"/>
          <w:szCs w:val="32"/>
        </w:rPr>
        <w:t>2015</w:t>
      </w:r>
      <w:r>
        <w:rPr>
          <w:rFonts w:hint="eastAsia" w:ascii="仿宋" w:hAnsi="仿宋" w:eastAsia="仿宋" w:cs="Arial"/>
          <w:color w:val="000000"/>
          <w:kern w:val="0"/>
          <w:sz w:val="32"/>
          <w:szCs w:val="32"/>
        </w:rPr>
        <w:t>年</w:t>
      </w:r>
      <w:r>
        <w:rPr>
          <w:rFonts w:ascii="inherit" w:hAnsi="inherit" w:eastAsia="仿宋" w:cs="Arial"/>
          <w:color w:val="000000"/>
          <w:kern w:val="0"/>
          <w:sz w:val="32"/>
          <w:szCs w:val="32"/>
        </w:rPr>
        <w:t>10</w:t>
      </w:r>
      <w:r>
        <w:rPr>
          <w:rFonts w:hint="eastAsia" w:ascii="仿宋" w:hAnsi="仿宋" w:eastAsia="仿宋" w:cs="Arial"/>
          <w:color w:val="000000"/>
          <w:kern w:val="0"/>
          <w:sz w:val="32"/>
          <w:szCs w:val="32"/>
        </w:rPr>
        <w:t>月底，课题组向教指委递交结题报告。</w:t>
      </w:r>
    </w:p>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六、申请立项书书面版寄教指委秘书处，电子版传至</w:t>
      </w:r>
      <w:r>
        <w:rPr>
          <w:rFonts w:ascii="inherit" w:hAnsi="inherit" w:eastAsia="仿宋" w:cs="Arial"/>
          <w:color w:val="000000"/>
          <w:kern w:val="0"/>
          <w:sz w:val="32"/>
          <w:szCs w:val="32"/>
        </w:rPr>
        <w:t>gcss@meng.edu.cn</w:t>
      </w:r>
      <w:r>
        <w:rPr>
          <w:rFonts w:hint="eastAsia" w:ascii="仿宋" w:hAnsi="仿宋" w:eastAsia="仿宋" w:cs="Arial"/>
          <w:color w:val="000000"/>
          <w:kern w:val="0"/>
          <w:sz w:val="32"/>
          <w:szCs w:val="32"/>
        </w:rPr>
        <w:t>。未满足上述有关时间要求者，视为自动放弃课题。</w:t>
      </w:r>
    </w:p>
    <w:p>
      <w:pPr>
        <w:widowControl/>
        <w:shd w:val="clear" w:color="auto" w:fill="FFFFFF"/>
        <w:spacing w:line="52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七、本着鼓励的原则，教指委将给予取得优秀研究成果或对工作有较好效果的自选课题一定的奖励。</w:t>
      </w:r>
    </w:p>
    <w:p>
      <w:pPr>
        <w:widowControl/>
        <w:shd w:val="clear" w:color="auto" w:fill="FFFFFF"/>
        <w:spacing w:line="440" w:lineRule="atLeast"/>
        <w:ind w:left="-2" w:firstLine="6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八、教指委自选课题优秀研究成果，将积极宣传，促进共享。</w:t>
      </w:r>
    </w:p>
    <w:p>
      <w:pPr>
        <w:widowControl/>
        <w:shd w:val="clear" w:color="auto" w:fill="FFFFFF"/>
        <w:spacing w:line="520" w:lineRule="atLeast"/>
        <w:ind w:left="-2" w:firstLine="640"/>
        <w:jc w:val="left"/>
        <w:rPr>
          <w:rFonts w:ascii="Arial" w:hAnsi="Arial" w:eastAsia="宋体" w:cs="Arial"/>
          <w:color w:val="676767"/>
          <w:kern w:val="0"/>
          <w:sz w:val="18"/>
          <w:szCs w:val="18"/>
        </w:rPr>
      </w:pPr>
      <w:bookmarkStart w:id="0" w:name="_GoBack"/>
      <w:bookmarkEnd w:id="0"/>
    </w:p>
    <w:p>
      <w:pPr>
        <w:widowControl/>
        <w:shd w:val="clear" w:color="auto" w:fill="FFFFFF"/>
        <w:spacing w:line="520" w:lineRule="atLeast"/>
        <w:ind w:left="-2" w:firstLine="640"/>
        <w:jc w:val="left"/>
        <w:rPr>
          <w:rFonts w:hint="eastAsia" w:ascii="宋体" w:hAnsi="宋体" w:eastAsia="宋体" w:cs="宋体"/>
          <w:color w:val="000000"/>
          <w:kern w:val="0"/>
          <w:sz w:val="32"/>
          <w:szCs w:val="32"/>
        </w:rPr>
      </w:pPr>
    </w:p>
    <w:p>
      <w:pPr>
        <w:widowControl/>
        <w:shd w:val="clear" w:color="auto" w:fill="FFFFFF"/>
        <w:spacing w:line="520" w:lineRule="atLeast"/>
        <w:ind w:left="-2" w:firstLine="640"/>
        <w:jc w:val="left"/>
        <w:rPr>
          <w:rFonts w:ascii="Arial" w:hAnsi="Arial" w:eastAsia="宋体" w:cs="Arial"/>
          <w:color w:val="676767"/>
          <w:kern w:val="0"/>
          <w:sz w:val="18"/>
          <w:szCs w:val="18"/>
        </w:rPr>
      </w:pPr>
    </w:p>
    <w:p>
      <w:pPr>
        <w:widowControl/>
        <w:shd w:val="clear" w:color="auto" w:fill="FFFFFF"/>
        <w:spacing w:line="520" w:lineRule="atLeast"/>
        <w:ind w:left="-2" w:firstLine="2240"/>
        <w:jc w:val="left"/>
        <w:rPr>
          <w:rFonts w:ascii="Arial" w:hAnsi="Arial" w:eastAsia="宋体" w:cs="Arial"/>
          <w:color w:val="676767"/>
          <w:kern w:val="0"/>
          <w:sz w:val="18"/>
          <w:szCs w:val="18"/>
        </w:rPr>
      </w:pPr>
      <w:r>
        <w:rPr>
          <w:rFonts w:hint="eastAsia" w:ascii="仿宋" w:hAnsi="仿宋" w:eastAsia="仿宋" w:cs="Arial"/>
          <w:color w:val="000000"/>
          <w:kern w:val="0"/>
          <w:sz w:val="32"/>
          <w:szCs w:val="32"/>
        </w:rPr>
        <w:t>全国工程专业学位研究生教育指导委员会</w:t>
      </w:r>
    </w:p>
    <w:p>
      <w:pPr>
        <w:widowControl/>
        <w:shd w:val="clear" w:color="auto" w:fill="FFFFFF"/>
        <w:spacing w:line="560" w:lineRule="atLeast"/>
        <w:ind w:firstLine="3530"/>
        <w:jc w:val="left"/>
      </w:pPr>
      <w:r>
        <w:rPr>
          <w:rFonts w:hint="eastAsia" w:ascii="仿宋" w:hAnsi="仿宋" w:eastAsia="仿宋" w:cs="Arial"/>
          <w:color w:val="000000"/>
          <w:kern w:val="0"/>
          <w:sz w:val="32"/>
          <w:szCs w:val="32"/>
        </w:rPr>
        <w:t>二Ο一四年六月三日</w:t>
      </w:r>
    </w:p>
    <w:p>
      <w:pPr>
        <w:ind w:left="42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line="180" w:lineRule="atLeast"/>
      <w:jc w:val="center"/>
    </w:pPr>
    <w:rPr>
      <w:rFonts w:ascii="Calibri" w:hAnsi="Calibri" w:eastAsia="宋体"/>
      <w:kern w:val="2"/>
      <w:sz w:val="21"/>
      <w:szCs w:val="22"/>
      <w:lang w:val="en-US" w:eastAsia="zh-CN" w:bidi="ar-SA"/>
    </w:rPr>
  </w:style>
  <w:style w:type="character" w:default="1" w:styleId="5">
    <w:name w:val="Default Paragraph Font"/>
    <w:semiHidden/>
    <w:unhideWhenUsed/>
    <w:uiPriority w:val="1"/>
  </w:style>
  <w:style w:type="paragraph" w:styleId="2">
    <w:name w:val="Body Text"/>
    <w:basedOn w:val="1"/>
    <w:link w:val="9"/>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3">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spacing w:line="240" w:lineRule="atLeast"/>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 Char"/>
    <w:basedOn w:val="5"/>
    <w:link w:val="2"/>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152</Words>
  <Characters>871</Characters>
  <Lines>7</Lines>
  <Paragraphs>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2014-06-23T07:24:00Z</dcterms:created>
  <dc:creator>y</dc:creator>
  <cp:lastModifiedBy>jjy</cp:lastModifiedBy>
  <dcterms:modified xsi:type="dcterms:W3CDTF">2014-06-26T07:25:30Z</dcterms:modified>
  <dc:title>关于开展全国工程专业学位研究生教育自选课题研究的通知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